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73A9B">
      <w:pPr>
        <w:pStyle w:val="Kopfzeile"/>
        <w:tabs>
          <w:tab w:val="clear" w:pos="4536"/>
          <w:tab w:val="clear" w:pos="9072"/>
          <w:tab w:val="left" w:pos="2325"/>
          <w:tab w:val="left" w:pos="5103"/>
        </w:tabs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Absender</w:t>
      </w:r>
    </w:p>
    <w:p w:rsidR="00000000" w:rsidRDefault="00473A9B">
      <w:pPr>
        <w:tabs>
          <w:tab w:val="left" w:pos="2325"/>
          <w:tab w:val="left" w:pos="5103"/>
        </w:tabs>
        <w:rPr>
          <w:rFonts w:ascii="Arial" w:hAnsi="Arial"/>
          <w:sz w:val="12"/>
        </w:rPr>
      </w:pPr>
      <w:r>
        <w:rPr>
          <w:rFonts w:ascii="Arial" w:hAnsi="Arial"/>
          <w:sz w:val="12"/>
        </w:rPr>
        <w:t>(Name, Vorname oder Firma mit genauen Adress- und Telefonangaben)</w:t>
      </w:r>
    </w:p>
    <w:p w:rsidR="00000000" w:rsidRDefault="00473A9B">
      <w:pPr>
        <w:tabs>
          <w:tab w:val="left" w:pos="2325"/>
          <w:tab w:val="left" w:pos="5103"/>
        </w:tabs>
        <w:rPr>
          <w:rFonts w:ascii="Arial" w:hAnsi="Arial"/>
          <w:sz w:val="24"/>
        </w:rPr>
      </w:pPr>
    </w:p>
    <w:p w:rsidR="00000000" w:rsidRDefault="00473A9B">
      <w:pPr>
        <w:tabs>
          <w:tab w:val="left" w:pos="2325"/>
          <w:tab w:val="left" w:pos="5103"/>
        </w:tabs>
        <w:rPr>
          <w:rFonts w:ascii="Arial" w:hAnsi="Arial"/>
          <w:sz w:val="24"/>
        </w:rPr>
      </w:pPr>
    </w:p>
    <w:p w:rsidR="00000000" w:rsidRDefault="00473A9B">
      <w:pPr>
        <w:tabs>
          <w:tab w:val="left" w:pos="2325"/>
          <w:tab w:val="left" w:pos="5103"/>
        </w:tabs>
        <w:rPr>
          <w:rFonts w:ascii="Arial" w:hAnsi="Arial"/>
          <w:sz w:val="24"/>
        </w:rPr>
      </w:pPr>
    </w:p>
    <w:p w:rsidR="00000000" w:rsidRDefault="00473A9B">
      <w:pPr>
        <w:tabs>
          <w:tab w:val="left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Gemeinderat Bad Ragaz</w:t>
      </w:r>
    </w:p>
    <w:p w:rsidR="00000000" w:rsidRDefault="00473A9B">
      <w:pPr>
        <w:tabs>
          <w:tab w:val="left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Postfach</w:t>
      </w:r>
    </w:p>
    <w:p w:rsidR="00000000" w:rsidRDefault="00473A9B">
      <w:pPr>
        <w:tabs>
          <w:tab w:val="left" w:pos="5103"/>
          <w:tab w:val="left" w:pos="921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7310 Bad Ragaz</w:t>
      </w:r>
    </w:p>
    <w:p w:rsidR="00000000" w:rsidRDefault="00473A9B">
      <w:pPr>
        <w:tabs>
          <w:tab w:val="left" w:pos="5103"/>
        </w:tabs>
        <w:rPr>
          <w:rFonts w:ascii="Arial" w:hAnsi="Arial"/>
          <w:sz w:val="24"/>
        </w:rPr>
      </w:pPr>
    </w:p>
    <w:p w:rsidR="00000000" w:rsidRDefault="00473A9B">
      <w:pPr>
        <w:tabs>
          <w:tab w:val="left" w:pos="5472"/>
        </w:tabs>
        <w:rPr>
          <w:rFonts w:ascii="Arial" w:hAnsi="Arial"/>
          <w:sz w:val="24"/>
        </w:rPr>
      </w:pPr>
    </w:p>
    <w:p w:rsidR="00000000" w:rsidRDefault="00473A9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Gesuch</w:t>
      </w:r>
    </w:p>
    <w:p w:rsidR="00000000" w:rsidRDefault="00473A9B">
      <w:pPr>
        <w:rPr>
          <w:rFonts w:ascii="Arial" w:hAnsi="Arial"/>
          <w:sz w:val="28"/>
        </w:rPr>
      </w:pPr>
    </w:p>
    <w:p w:rsidR="00000000" w:rsidRDefault="00473A9B">
      <w:pPr>
        <w:pBdr>
          <w:bottom w:val="single" w:sz="6" w:space="1" w:color="auto"/>
        </w:pBd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Erteilung einer Ausnahmebewilligung für einen Sonntagsve</w:t>
      </w:r>
      <w:r>
        <w:rPr>
          <w:rFonts w:ascii="Arial" w:hAnsi="Arial"/>
          <w:b/>
          <w:sz w:val="32"/>
        </w:rPr>
        <w:t>r</w:t>
      </w:r>
      <w:r>
        <w:rPr>
          <w:rFonts w:ascii="Arial" w:hAnsi="Arial"/>
          <w:b/>
          <w:sz w:val="32"/>
        </w:rPr>
        <w:t>kauf</w:t>
      </w:r>
    </w:p>
    <w:p w:rsidR="00000000" w:rsidRDefault="00473A9B">
      <w:pPr>
        <w:rPr>
          <w:rFonts w:ascii="Arial" w:hAnsi="Arial"/>
          <w:b/>
          <w:sz w:val="30"/>
        </w:rPr>
      </w:pPr>
    </w:p>
    <w:p w:rsidR="00000000" w:rsidRDefault="00473A9B">
      <w:pPr>
        <w:rPr>
          <w:rFonts w:ascii="Arial" w:hAnsi="Arial"/>
          <w:b/>
          <w:sz w:val="30"/>
        </w:rPr>
      </w:pPr>
    </w:p>
    <w:p w:rsidR="00000000" w:rsidRDefault="00473A9B">
      <w:pPr>
        <w:pStyle w:val="Textkrper"/>
      </w:pPr>
      <w:r>
        <w:t>Gestützt auf Art. 12 Abs. 1 lit. b des Gesetzes über Ru</w:t>
      </w:r>
      <w:r>
        <w:t>hetag und Ladenöffnung, a</w:t>
      </w:r>
      <w:r>
        <w:t>b</w:t>
      </w:r>
      <w:r>
        <w:t>gek. RLG (sGS 552.1) stellen wir hiermit das Gesuch um Erteilung einer Ausnahm</w:t>
      </w:r>
      <w:r>
        <w:t>e</w:t>
      </w:r>
      <w:r>
        <w:t>bewi</w:t>
      </w:r>
      <w:r>
        <w:t>l</w:t>
      </w:r>
      <w:r>
        <w:t>ligung für folgenden Sonntagsverkauf:</w:t>
      </w:r>
    </w:p>
    <w:p w:rsidR="00000000" w:rsidRDefault="00473A9B">
      <w:pPr>
        <w:rPr>
          <w:rFonts w:ascii="Arial" w:hAnsi="Arial"/>
          <w:b/>
          <w:sz w:val="30"/>
        </w:rPr>
      </w:pPr>
    </w:p>
    <w:tbl>
      <w:tblPr>
        <w:tblW w:w="0" w:type="auto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000000" w:rsidRDefault="00473A9B">
            <w:pPr>
              <w:spacing w:before="120" w:line="288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Betrieb, Laden, Firma</w:t>
            </w:r>
          </w:p>
          <w:p w:rsidR="00000000" w:rsidRDefault="00473A9B">
            <w:pPr>
              <w:spacing w:before="12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des Verkaufsgeschäftes, der Firma, der  Unternehmung usw.</w:t>
            </w:r>
          </w:p>
        </w:tc>
        <w:tc>
          <w:tcPr>
            <w:tcW w:w="6378" w:type="dxa"/>
            <w:shd w:val="pct10" w:color="auto" w:fill="auto"/>
          </w:tcPr>
          <w:p w:rsidR="00000000" w:rsidRDefault="00473A9B">
            <w:pPr>
              <w:spacing w:before="120" w:after="120" w:line="288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000000" w:rsidRDefault="00473A9B">
            <w:pPr>
              <w:spacing w:before="120" w:line="288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Verantwortlicher Leiter</w:t>
            </w:r>
          </w:p>
          <w:p w:rsidR="00000000" w:rsidRDefault="00473A9B">
            <w:pPr>
              <w:spacing w:before="12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Name, Vorname, Geburtsdatum, Adresse, Wohnort, Telefon, Fax, E-Mail</w:t>
            </w:r>
          </w:p>
        </w:tc>
        <w:tc>
          <w:tcPr>
            <w:tcW w:w="6378" w:type="dxa"/>
            <w:shd w:val="pct10" w:color="auto" w:fill="auto"/>
          </w:tcPr>
          <w:p w:rsidR="00000000" w:rsidRDefault="00473A9B">
            <w:pPr>
              <w:spacing w:before="120" w:after="120" w:line="288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000000" w:rsidRDefault="00473A9B">
            <w:pPr>
              <w:spacing w:before="120" w:line="288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Anlass</w:t>
            </w:r>
          </w:p>
          <w:p w:rsidR="00000000" w:rsidRDefault="00473A9B">
            <w:pPr>
              <w:spacing w:before="12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Beschreibung der Veranstaltung, beson</w:t>
            </w:r>
            <w:r>
              <w:rPr>
                <w:rFonts w:ascii="Arial" w:hAnsi="Arial"/>
                <w:sz w:val="16"/>
              </w:rPr>
              <w:softHyphen/>
              <w:t>dere Attraktionen</w:t>
            </w:r>
          </w:p>
        </w:tc>
        <w:tc>
          <w:tcPr>
            <w:tcW w:w="6378" w:type="dxa"/>
            <w:shd w:val="pct10" w:color="auto" w:fill="auto"/>
          </w:tcPr>
          <w:p w:rsidR="00000000" w:rsidRDefault="00473A9B">
            <w:pPr>
              <w:spacing w:before="120" w:after="120" w:line="288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000000" w:rsidRDefault="00473A9B">
            <w:pPr>
              <w:spacing w:before="120" w:line="288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</w:t>
            </w:r>
          </w:p>
          <w:p w:rsidR="00000000" w:rsidRDefault="00473A9B">
            <w:pPr>
              <w:spacing w:before="12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Durchführungsort mit genauer Angabe über die zu</w:t>
            </w:r>
            <w:r>
              <w:rPr>
                <w:rFonts w:ascii="Arial" w:hAnsi="Arial"/>
                <w:sz w:val="16"/>
              </w:rPr>
              <w:t>r Benützung gelangenden Räume</w:t>
            </w:r>
          </w:p>
        </w:tc>
        <w:tc>
          <w:tcPr>
            <w:tcW w:w="6378" w:type="dxa"/>
            <w:shd w:val="pct10" w:color="auto" w:fill="auto"/>
          </w:tcPr>
          <w:p w:rsidR="00000000" w:rsidRDefault="00473A9B">
            <w:pPr>
              <w:spacing w:before="120" w:after="120" w:line="288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000000" w:rsidRDefault="00473A9B">
            <w:pPr>
              <w:spacing w:before="120" w:line="288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Tag, Datum</w:t>
            </w:r>
          </w:p>
          <w:p w:rsidR="00000000" w:rsidRDefault="00473A9B">
            <w:pPr>
              <w:spacing w:before="12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genaues Durchführungsdatum</w:t>
            </w:r>
            <w:r>
              <w:rPr>
                <w:rStyle w:val="Funotenzeichen"/>
                <w:rFonts w:ascii="Arial" w:hAnsi="Arial"/>
                <w:sz w:val="16"/>
              </w:rPr>
              <w:footnoteReference w:id="1"/>
            </w:r>
          </w:p>
        </w:tc>
        <w:tc>
          <w:tcPr>
            <w:tcW w:w="6378" w:type="dxa"/>
            <w:shd w:val="pct10" w:color="auto" w:fill="auto"/>
          </w:tcPr>
          <w:p w:rsidR="00000000" w:rsidRDefault="00473A9B">
            <w:pPr>
              <w:spacing w:before="120" w:after="120" w:line="288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000000" w:rsidRDefault="00473A9B">
            <w:pPr>
              <w:spacing w:before="120" w:line="288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Öffnungszeiten</w:t>
            </w:r>
          </w:p>
          <w:p w:rsidR="00000000" w:rsidRDefault="00473A9B">
            <w:pPr>
              <w:spacing w:before="12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genaue Öffnungszeiten von - bis</w:t>
            </w:r>
            <w:r>
              <w:rPr>
                <w:rStyle w:val="Funotenzeichen"/>
                <w:rFonts w:ascii="Arial" w:hAnsi="Arial"/>
                <w:sz w:val="16"/>
              </w:rPr>
              <w:footnoteReference w:id="2"/>
            </w:r>
          </w:p>
        </w:tc>
        <w:tc>
          <w:tcPr>
            <w:tcW w:w="6378" w:type="dxa"/>
            <w:shd w:val="pct10" w:color="auto" w:fill="auto"/>
          </w:tcPr>
          <w:p w:rsidR="00000000" w:rsidRDefault="00473A9B">
            <w:pPr>
              <w:spacing w:before="120" w:after="120" w:line="288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</w:tbl>
    <w:p w:rsidR="00000000" w:rsidRDefault="00473A9B">
      <w:pPr>
        <w:rPr>
          <w:rFonts w:ascii="Arial" w:hAnsi="Arial"/>
          <w:bCs/>
          <w:sz w:val="22"/>
        </w:rPr>
      </w:pPr>
    </w:p>
    <w:p w:rsidR="00000000" w:rsidRDefault="00473A9B">
      <w:pPr>
        <w:rPr>
          <w:rFonts w:ascii="Arial" w:hAnsi="Arial"/>
          <w:bCs/>
          <w:sz w:val="22"/>
        </w:rPr>
      </w:pPr>
    </w:p>
    <w:p w:rsidR="00000000" w:rsidRDefault="00473A9B">
      <w:pPr>
        <w:tabs>
          <w:tab w:val="left" w:pos="5472"/>
        </w:tabs>
        <w:ind w:left="227" w:hanging="227"/>
        <w:rPr>
          <w:rFonts w:ascii="Arial" w:hAnsi="Arial"/>
          <w:bCs/>
          <w:sz w:val="22"/>
        </w:rPr>
      </w:pPr>
    </w:p>
    <w:p w:rsidR="00000000" w:rsidRDefault="00473A9B">
      <w:pPr>
        <w:tabs>
          <w:tab w:val="left" w:pos="5472"/>
        </w:tabs>
        <w:ind w:left="227" w:hanging="227"/>
        <w:rPr>
          <w:rFonts w:ascii="Arial" w:hAnsi="Arial"/>
          <w:bCs/>
          <w:sz w:val="22"/>
        </w:rPr>
      </w:pPr>
    </w:p>
    <w:p w:rsidR="00000000" w:rsidRDefault="00473A9B">
      <w:pPr>
        <w:tabs>
          <w:tab w:val="left" w:pos="5103"/>
        </w:tabs>
        <w:ind w:left="227" w:hanging="227"/>
        <w:rPr>
          <w:rFonts w:ascii="Arial" w:hAnsi="Arial"/>
          <w:sz w:val="12"/>
        </w:rPr>
      </w:pPr>
      <w:r>
        <w:rPr>
          <w:rFonts w:ascii="Arial" w:hAnsi="Arial"/>
          <w:sz w:val="12"/>
        </w:rPr>
        <w:t>........................................................................</w:t>
      </w:r>
      <w:r>
        <w:rPr>
          <w:rFonts w:ascii="Arial" w:hAnsi="Arial"/>
          <w:sz w:val="12"/>
        </w:rPr>
        <w:t>....................................................</w:t>
      </w:r>
      <w:r>
        <w:rPr>
          <w:rFonts w:ascii="Arial" w:hAnsi="Arial"/>
          <w:sz w:val="12"/>
        </w:rPr>
        <w:tab/>
        <w:t>.............................................................................................................................</w:t>
      </w:r>
    </w:p>
    <w:p w:rsidR="00000000" w:rsidRDefault="00473A9B">
      <w:pPr>
        <w:tabs>
          <w:tab w:val="left" w:pos="5103"/>
        </w:tabs>
        <w:spacing w:before="120"/>
        <w:ind w:left="227" w:hanging="227"/>
        <w:rPr>
          <w:rFonts w:ascii="Arial" w:hAnsi="Arial"/>
        </w:rPr>
      </w:pPr>
      <w:r>
        <w:rPr>
          <w:rFonts w:ascii="Arial" w:hAnsi="Arial"/>
        </w:rPr>
        <w:t>Ort, Datum</w:t>
      </w:r>
      <w:r>
        <w:rPr>
          <w:rFonts w:ascii="Arial" w:hAnsi="Arial"/>
        </w:rPr>
        <w:tab/>
        <w:t>Unterschrift des verantwortlichen Leiters</w:t>
      </w:r>
    </w:p>
    <w:p w:rsidR="00000000" w:rsidRDefault="00473A9B">
      <w:pPr>
        <w:tabs>
          <w:tab w:val="left" w:pos="5472"/>
        </w:tabs>
        <w:ind w:left="227" w:hanging="227"/>
        <w:rPr>
          <w:rFonts w:ascii="Arial" w:hAnsi="Arial"/>
          <w:sz w:val="22"/>
        </w:rPr>
      </w:pPr>
    </w:p>
    <w:p w:rsidR="00000000" w:rsidRDefault="00473A9B">
      <w:pPr>
        <w:rPr>
          <w:rFonts w:ascii="Arial" w:hAnsi="Arial"/>
          <w:sz w:val="22"/>
        </w:rPr>
      </w:pPr>
    </w:p>
    <w:p w:rsidR="00000000" w:rsidRDefault="00473A9B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Hinweise</w:t>
      </w:r>
    </w:p>
    <w:p w:rsidR="00000000" w:rsidRDefault="00473A9B">
      <w:pPr>
        <w:rPr>
          <w:rFonts w:ascii="Arial" w:hAnsi="Arial" w:cs="Arial"/>
          <w:sz w:val="2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000000" w:rsidRDefault="00473A9B">
            <w:pPr>
              <w:numPr>
                <w:ilvl w:val="0"/>
                <w:numId w:val="3"/>
              </w:numPr>
              <w:tabs>
                <w:tab w:val="left" w:pos="497"/>
              </w:tabs>
              <w:spacing w:after="240"/>
              <w:ind w:left="499" w:hanging="4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Einreichung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 Gesuches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Das Gesuch ist spätestens 1 Monat vor Durchführung des Anlasses dem Gemeinderat einz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reichen. Verspätet eingereichte Gesuche können dazu führen, dass die Bewilligung nicht fristgerecht erteilt bzw. der Anlass nicht durchg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führt werden darf.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000000" w:rsidRDefault="00473A9B">
            <w:pPr>
              <w:numPr>
                <w:ilvl w:val="0"/>
                <w:numId w:val="3"/>
              </w:numPr>
              <w:tabs>
                <w:tab w:val="left" w:pos="497"/>
              </w:tabs>
              <w:spacing w:after="240"/>
              <w:ind w:left="499" w:hanging="4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ewilligung für eine gastgewerbliche Tätigkeit für einen Anlass (Festwirtschaftsbewi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ligung)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Wenn im Rahmen des Anlasses eine gastgewerbliche Tätigkeit oder der Kleinhandel mit g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brannten Wassern geführt wird, ist nach Art. 3, Art. 4 und Art. 14 ff. des Gas</w:t>
            </w:r>
            <w:r>
              <w:rPr>
                <w:rFonts w:ascii="Arial" w:hAnsi="Arial" w:cs="Arial"/>
                <w:sz w:val="22"/>
                <w:szCs w:val="22"/>
              </w:rPr>
              <w:t>twirtschaftsg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setzes, abgek. GWG (sGS 553.1) eine besondere Bewilligung (Festwirtschaftsbewilligung) erfo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derlich.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000000" w:rsidRDefault="00473A9B">
            <w:pPr>
              <w:numPr>
                <w:ilvl w:val="0"/>
                <w:numId w:val="3"/>
              </w:numPr>
              <w:tabs>
                <w:tab w:val="left" w:pos="497"/>
              </w:tabs>
              <w:spacing w:after="240"/>
              <w:ind w:left="499" w:hanging="4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Ausländische Künstler, Musiker und Artisten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Ausländische Künstler, Musiker und Artisten benötigen für Kurzauftritte bis zu 8 Tagen inne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halb</w:t>
            </w:r>
            <w:r>
              <w:rPr>
                <w:rFonts w:ascii="Arial" w:hAnsi="Arial" w:cs="Arial"/>
                <w:sz w:val="22"/>
                <w:szCs w:val="22"/>
              </w:rPr>
              <w:t xml:space="preserve"> von 3 Monaten keine Aufenthaltsbewilligung, sofern kein fester Stellenantritt vorliegt (Art. 2 Abs.1 ANAG). Vorbehalten bleibt eine Arbeitsbewilligung der kantonalen Fremdenpol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zei sowie die ordentliche Abrechnung der Quellensteuer für ausländische Künstl</w:t>
            </w:r>
            <w:r>
              <w:rPr>
                <w:rFonts w:ascii="Arial" w:hAnsi="Arial" w:cs="Arial"/>
                <w:sz w:val="22"/>
                <w:szCs w:val="22"/>
              </w:rPr>
              <w:t>er, Musiker und Artisten.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000000" w:rsidRDefault="00473A9B">
            <w:pPr>
              <w:numPr>
                <w:ilvl w:val="0"/>
                <w:numId w:val="3"/>
              </w:numPr>
              <w:tabs>
                <w:tab w:val="left" w:pos="497"/>
              </w:tabs>
              <w:spacing w:after="240"/>
              <w:ind w:left="499" w:hanging="4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Benützung von privatem Grund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Soweit der Anlass nicht auf eigenem Boden abgehalten wird und anderer privater Grund b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ansprucht wird, ist vo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gängig die Zustimmung des Grundeigentümers einzuholen.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000000" w:rsidRDefault="00473A9B">
            <w:pPr>
              <w:numPr>
                <w:ilvl w:val="0"/>
                <w:numId w:val="3"/>
              </w:numPr>
              <w:tabs>
                <w:tab w:val="left" w:pos="497"/>
              </w:tabs>
              <w:spacing w:after="240"/>
              <w:ind w:left="499" w:hanging="4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Benützung von öffentlichem Grund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Der gesteigerte Gemeingebrauch an öffentlichen Strassen und Plätzen bedarf einer Bewill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gung des Gemeinderates nach Art. 21 des Strassengesetzes, abgek. StrG (sGS 732.1). Wer Strassen übermässig verschmutzt, hat sie unverzüglich gemäss Art. 19 Abs. 1 StrG </w:t>
            </w:r>
            <w:r>
              <w:rPr>
                <w:rFonts w:ascii="Arial" w:hAnsi="Arial" w:cs="Arial"/>
                <w:sz w:val="22"/>
                <w:szCs w:val="22"/>
              </w:rPr>
              <w:t>zu rein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gen.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000000" w:rsidRDefault="00473A9B">
            <w:pPr>
              <w:numPr>
                <w:ilvl w:val="0"/>
                <w:numId w:val="3"/>
              </w:numPr>
              <w:tabs>
                <w:tab w:val="left" w:pos="497"/>
              </w:tabs>
              <w:spacing w:after="100"/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Verkehrsregelung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Bei einem zu erwartenden grösseren Verkehrsaufkommen ist die Verkehrsregelung mit den Bau- und Betriebsdiensten und - je nach Anweisung - mit den örtlichen Polizeiorganen abz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sprechen und durch einen Ordnungsdienst sicherzust</w:t>
            </w:r>
            <w:r>
              <w:rPr>
                <w:rFonts w:ascii="Arial" w:hAnsi="Arial" w:cs="Arial"/>
                <w:sz w:val="22"/>
                <w:szCs w:val="22"/>
              </w:rPr>
              <w:t>ellen. Die Parkplätze sind zu signalisi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ren und allenfalls durch einen Parkor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nungsdienst zuzuweisen.</w:t>
            </w:r>
          </w:p>
        </w:tc>
      </w:tr>
    </w:tbl>
    <w:p w:rsidR="00000000" w:rsidRDefault="00473A9B">
      <w:pPr>
        <w:rPr>
          <w:rFonts w:ascii="Arial" w:hAnsi="Arial" w:cs="Arial"/>
          <w:sz w:val="22"/>
        </w:rPr>
      </w:pPr>
    </w:p>
    <w:p w:rsidR="00000000" w:rsidRDefault="00473A9B">
      <w:pPr>
        <w:rPr>
          <w:rFonts w:ascii="Arial" w:hAnsi="Arial" w:cs="Arial"/>
          <w:sz w:val="22"/>
        </w:rPr>
      </w:pPr>
    </w:p>
    <w:p w:rsidR="00000000" w:rsidRDefault="00473A9B">
      <w:pPr>
        <w:pStyle w:val="berschrift2"/>
        <w:rPr>
          <w:rFonts w:cs="Arial"/>
          <w:sz w:val="22"/>
        </w:rPr>
      </w:pPr>
      <w:r>
        <w:rPr>
          <w:rFonts w:cs="Arial"/>
          <w:sz w:val="22"/>
        </w:rPr>
        <w:t>Unterlagen und Auskünfte</w:t>
      </w:r>
    </w:p>
    <w:p w:rsidR="00000000" w:rsidRDefault="00473A9B">
      <w:pPr>
        <w:rPr>
          <w:rFonts w:ascii="Arial" w:hAnsi="Arial" w:cs="Arial"/>
          <w:sz w:val="22"/>
        </w:rPr>
      </w:pPr>
    </w:p>
    <w:p w:rsidR="00000000" w:rsidRDefault="00473A9B">
      <w:pPr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Arbeitsbewilligung für ausländische Künstler, Musiker und Artisten ist mit dem Einwohneramt zu 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geln. </w:t>
      </w:r>
    </w:p>
    <w:p w:rsidR="00000000" w:rsidRDefault="00473A9B">
      <w:pPr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die Abrechnun</w:t>
      </w:r>
      <w:r>
        <w:rPr>
          <w:rFonts w:ascii="Arial" w:hAnsi="Arial" w:cs="Arial"/>
          <w:sz w:val="22"/>
          <w:szCs w:val="22"/>
        </w:rPr>
        <w:t>g der Quellensteuer für ausländische Künstler, Musiker und Artisten ist das G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meindesteueramt z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ständig. </w:t>
      </w:r>
    </w:p>
    <w:p w:rsidR="00000000" w:rsidRDefault="00473A9B">
      <w:pPr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Gesuche für die Verkehrsregelung sind direkt an die Bau- und Betriebsdienste zu richten. </w:t>
      </w:r>
    </w:p>
    <w:p w:rsidR="00000000" w:rsidRDefault="00473A9B">
      <w:pPr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Gesuche für die Benützung von öffentlichem Grund sind dem Ge</w:t>
      </w:r>
      <w:r>
        <w:rPr>
          <w:rFonts w:ascii="Arial" w:hAnsi="Arial" w:cs="Arial"/>
          <w:sz w:val="22"/>
          <w:szCs w:val="22"/>
        </w:rPr>
        <w:t>meinderat in Briefform einz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chen.</w:t>
      </w:r>
    </w:p>
    <w:p w:rsidR="00000000" w:rsidRDefault="00473A9B">
      <w:pPr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der Gemeinderatskanzlei können folgende Unterlagen bezogen werden:</w:t>
      </w:r>
    </w:p>
    <w:p w:rsidR="00000000" w:rsidRDefault="00473A9B">
      <w:pPr>
        <w:numPr>
          <w:ilvl w:val="0"/>
          <w:numId w:val="4"/>
        </w:numPr>
        <w:spacing w:after="8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Gesuch für die Erteilung eines Gastwirtschaftspatentes für einen Anlass (Festwirtschaftsbewi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ligung;</w:t>
      </w:r>
    </w:p>
    <w:p w:rsidR="00000000" w:rsidRDefault="00473A9B">
      <w:pPr>
        <w:numPr>
          <w:ilvl w:val="0"/>
          <w:numId w:val="4"/>
        </w:numPr>
        <w:spacing w:after="8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Auszug aus dem Gesetz über Ruhetag und Ladenöff</w:t>
      </w:r>
      <w:r>
        <w:rPr>
          <w:rFonts w:ascii="Arial" w:hAnsi="Arial" w:cs="Arial"/>
          <w:sz w:val="22"/>
          <w:szCs w:val="22"/>
        </w:rPr>
        <w:t>nung;</w:t>
      </w:r>
    </w:p>
    <w:p w:rsidR="00000000" w:rsidRDefault="00473A9B">
      <w:pPr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Ebenfalls steht die Gemeinderatskanzlei gerne für weitere Auskünfte zur Verfügung (Telefon 081 303 49 50).</w:t>
      </w:r>
    </w:p>
    <w:p w:rsidR="00000000" w:rsidRDefault="00473A9B">
      <w:pPr>
        <w:rPr>
          <w:rFonts w:ascii="Arial" w:hAnsi="Arial" w:cs="Arial"/>
          <w:sz w:val="22"/>
        </w:rPr>
      </w:pPr>
    </w:p>
    <w:p w:rsidR="00000000" w:rsidRDefault="00473A9B">
      <w:pPr>
        <w:rPr>
          <w:rFonts w:ascii="Arial" w:hAnsi="Arial" w:cs="Arial"/>
          <w:sz w:val="22"/>
        </w:rPr>
      </w:pPr>
    </w:p>
    <w:p w:rsidR="00000000" w:rsidRDefault="00473A9B">
      <w:pPr>
        <w:rPr>
          <w:rFonts w:ascii="Arial" w:hAnsi="Arial" w:cs="Arial"/>
          <w:sz w:val="22"/>
        </w:rPr>
      </w:pPr>
    </w:p>
    <w:p w:rsidR="00000000" w:rsidRDefault="00473A9B">
      <w:pPr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Beilage</w:t>
      </w:r>
    </w:p>
    <w:p w:rsidR="00000000" w:rsidRDefault="00473A9B">
      <w:pPr>
        <w:tabs>
          <w:tab w:val="left" w:pos="510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Wird beim Sonntagsverkauf nicht familieneigenes Personal beschäftigt, ist die Zustimmung des kantonales Arbeitsinspektorates erforde</w:t>
      </w:r>
      <w:r>
        <w:rPr>
          <w:rFonts w:ascii="Arial" w:hAnsi="Arial" w:cs="Arial"/>
          <w:sz w:val="22"/>
        </w:rPr>
        <w:t>rlich.</w:t>
      </w:r>
      <w:r>
        <w:rPr>
          <w:rFonts w:ascii="Arial" w:hAnsi="Arial" w:cs="Arial"/>
          <w:sz w:val="22"/>
        </w:rPr>
        <w:tab/>
      </w:r>
    </w:p>
    <w:p w:rsidR="00000000" w:rsidRDefault="00473A9B">
      <w:pPr>
        <w:tabs>
          <w:tab w:val="left" w:pos="5103"/>
        </w:tabs>
        <w:rPr>
          <w:rFonts w:ascii="Arial" w:hAnsi="Arial" w:cs="Arial"/>
          <w:sz w:val="22"/>
        </w:rPr>
      </w:pPr>
    </w:p>
    <w:p w:rsidR="00000000" w:rsidRDefault="00473A9B">
      <w:pPr>
        <w:tabs>
          <w:tab w:val="left" w:pos="510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F0"/>
      </w:r>
      <w:r>
        <w:rPr>
          <w:rFonts w:ascii="Arial" w:hAnsi="Arial" w:cs="Arial"/>
          <w:sz w:val="22"/>
        </w:rPr>
        <w:t xml:space="preserve"> Gesuch um Bewilligung vorübergehender Sonntagsarbeit.</w:t>
      </w:r>
    </w:p>
    <w:p w:rsidR="00000000" w:rsidRDefault="00473A9B">
      <w:pPr>
        <w:tabs>
          <w:tab w:val="left" w:pos="5103"/>
        </w:tabs>
        <w:rPr>
          <w:rFonts w:ascii="Arial" w:hAnsi="Arial" w:cs="Arial"/>
          <w:sz w:val="22"/>
        </w:rPr>
      </w:pPr>
    </w:p>
    <w:p w:rsidR="00000000" w:rsidRDefault="00473A9B">
      <w:pPr>
        <w:tabs>
          <w:tab w:val="left" w:pos="5103"/>
        </w:tabs>
        <w:rPr>
          <w:rFonts w:ascii="Arial" w:hAnsi="Arial" w:cs="Arial"/>
          <w:sz w:val="22"/>
        </w:rPr>
      </w:pPr>
    </w:p>
    <w:p w:rsidR="00000000" w:rsidRDefault="00473A9B">
      <w:pPr>
        <w:tabs>
          <w:tab w:val="left" w:pos="5103"/>
        </w:tabs>
        <w:rPr>
          <w:rFonts w:ascii="Arial" w:hAnsi="Arial" w:cs="Arial"/>
          <w:sz w:val="22"/>
        </w:rPr>
      </w:pPr>
    </w:p>
    <w:p w:rsidR="00000000" w:rsidRDefault="00473A9B">
      <w:pPr>
        <w:tabs>
          <w:tab w:val="left" w:pos="510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Wird beim Sonntagsverkauf </w:t>
      </w:r>
      <w:r>
        <w:rPr>
          <w:rFonts w:ascii="Arial" w:hAnsi="Arial" w:cs="Arial"/>
          <w:b/>
          <w:bCs/>
          <w:sz w:val="22"/>
        </w:rPr>
        <w:t>in der Adventszeit</w:t>
      </w:r>
      <w:r>
        <w:rPr>
          <w:rFonts w:ascii="Arial" w:hAnsi="Arial" w:cs="Arial"/>
          <w:sz w:val="22"/>
        </w:rPr>
        <w:t xml:space="preserve"> nicht familieneigenes Personal beschäftigt, ist die Zustimmung des kantonales Arbeitsinspektorates erforderlich.</w:t>
      </w:r>
    </w:p>
    <w:p w:rsidR="00000000" w:rsidRDefault="00473A9B">
      <w:pPr>
        <w:tabs>
          <w:tab w:val="left" w:pos="5103"/>
        </w:tabs>
        <w:rPr>
          <w:rFonts w:ascii="Arial" w:hAnsi="Arial" w:cs="Arial"/>
          <w:sz w:val="22"/>
        </w:rPr>
      </w:pPr>
    </w:p>
    <w:p w:rsidR="00000000" w:rsidRDefault="00473A9B">
      <w:pPr>
        <w:tabs>
          <w:tab w:val="left" w:pos="510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F0"/>
      </w:r>
      <w:r>
        <w:rPr>
          <w:rFonts w:ascii="Arial" w:hAnsi="Arial" w:cs="Arial"/>
          <w:sz w:val="22"/>
        </w:rPr>
        <w:t xml:space="preserve"> Gesuch um Sonntagsbewill</w:t>
      </w:r>
      <w:r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gu</w:t>
      </w:r>
      <w:r>
        <w:rPr>
          <w:rFonts w:ascii="Arial" w:hAnsi="Arial" w:cs="Arial"/>
          <w:sz w:val="22"/>
        </w:rPr>
        <w:t>ng in der (um die) Adventszeit</w:t>
      </w:r>
    </w:p>
    <w:p w:rsidR="00090955" w:rsidRDefault="00090955">
      <w:pPr>
        <w:rPr>
          <w:rFonts w:ascii="Arial" w:hAnsi="Arial" w:cs="Arial"/>
          <w:sz w:val="22"/>
        </w:rPr>
      </w:pPr>
    </w:p>
    <w:sectPr w:rsidR="00090955">
      <w:headerReference w:type="default" r:id="rId8"/>
      <w:footnotePr>
        <w:numRestart w:val="eachSect"/>
      </w:footnotePr>
      <w:pgSz w:w="11907" w:h="16840" w:code="9"/>
      <w:pgMar w:top="1134" w:right="907" w:bottom="567" w:left="1304" w:header="720" w:footer="720" w:gutter="0"/>
      <w:paperSrc w:first="260" w:other="26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9B" w:rsidRDefault="00473A9B">
      <w:r>
        <w:separator/>
      </w:r>
    </w:p>
  </w:endnote>
  <w:endnote w:type="continuationSeparator" w:id="0">
    <w:p w:rsidR="00473A9B" w:rsidRDefault="0047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9B" w:rsidRDefault="00473A9B">
      <w:r>
        <w:separator/>
      </w:r>
    </w:p>
  </w:footnote>
  <w:footnote w:type="continuationSeparator" w:id="0">
    <w:p w:rsidR="00473A9B" w:rsidRDefault="00473A9B">
      <w:r>
        <w:continuationSeparator/>
      </w:r>
    </w:p>
  </w:footnote>
  <w:footnote w:id="1">
    <w:p w:rsidR="00000000" w:rsidRDefault="00473A9B">
      <w:pPr>
        <w:pStyle w:val="Funotentext"/>
        <w:spacing w:after="120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Für Karfreitag, Ostersonntag, Pfingstsonntag, Eidgenössischer Bettag und Weihnachtstag sind keine Au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nahmen zulä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sig (Art. 12 Abs. 2 i. V. m. Art. 3 RLG).</w:t>
      </w:r>
    </w:p>
  </w:footnote>
  <w:footnote w:id="2">
    <w:p w:rsidR="00000000" w:rsidRDefault="00473A9B">
      <w:pPr>
        <w:pStyle w:val="Funotentext"/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Für allgemeine oder individuelle Sonntagsverkäufe in der Adventsz</w:t>
      </w:r>
      <w:r>
        <w:rPr>
          <w:rFonts w:ascii="Arial" w:hAnsi="Arial" w:cs="Arial"/>
        </w:rPr>
        <w:t>eit kann die Ladenöffnung von 12.00 bis 17.00 Uhr zugelassen werden (Art. 12 Abs. 3 RLG).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73A9B">
    <w:pPr>
      <w:pStyle w:val="Kopfzeile"/>
      <w:tabs>
        <w:tab w:val="clear" w:pos="4536"/>
        <w:tab w:val="left" w:pos="8080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  <w:sz w:val="12"/>
      </w:rPr>
      <w:t xml:space="preserve">Seite   - </w:t>
    </w:r>
    <w:r>
      <w:rPr>
        <w:rStyle w:val="Seitenzahl"/>
        <w:sz w:val="12"/>
      </w:rPr>
      <w:fldChar w:fldCharType="begin"/>
    </w:r>
    <w:r>
      <w:rPr>
        <w:rStyle w:val="Seitenzahl"/>
        <w:sz w:val="12"/>
      </w:rPr>
      <w:instrText xml:space="preserve"> PAGE </w:instrText>
    </w:r>
    <w:r>
      <w:rPr>
        <w:rStyle w:val="Seitenzahl"/>
        <w:sz w:val="12"/>
      </w:rPr>
      <w:fldChar w:fldCharType="separate"/>
    </w:r>
    <w:r w:rsidR="00090955">
      <w:rPr>
        <w:rStyle w:val="Seitenzahl"/>
        <w:noProof/>
        <w:sz w:val="12"/>
      </w:rPr>
      <w:t>3</w:t>
    </w:r>
    <w:r>
      <w:rPr>
        <w:rStyle w:val="Seitenzahl"/>
        <w:sz w:val="12"/>
      </w:rPr>
      <w:fldChar w:fldCharType="end"/>
    </w:r>
    <w:r>
      <w:rPr>
        <w:rStyle w:val="Seitenzahl"/>
        <w:sz w:val="12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4F0591A"/>
    <w:lvl w:ilvl="0">
      <w:numFmt w:val="decimal"/>
      <w:lvlText w:val="*"/>
      <w:lvlJc w:val="left"/>
    </w:lvl>
  </w:abstractNum>
  <w:abstractNum w:abstractNumId="1">
    <w:nsid w:val="49D53B71"/>
    <w:multiLevelType w:val="singleLevel"/>
    <w:tmpl w:val="3D0A32C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52B64963"/>
    <w:multiLevelType w:val="singleLevel"/>
    <w:tmpl w:val="230855C4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672008BF"/>
    <w:multiLevelType w:val="singleLevel"/>
    <w:tmpl w:val="3D0A32C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55"/>
    <w:rsid w:val="00090955"/>
    <w:rsid w:val="004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</w:pBdr>
      <w:tabs>
        <w:tab w:val="left" w:pos="5472"/>
      </w:tabs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rFonts w:ascii="Arial" w:hAnsi="Arial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line="360" w:lineRule="auto"/>
    </w:pPr>
    <w:rPr>
      <w:rFonts w:ascii="Arial" w:hAnsi="Arial"/>
      <w:b/>
      <w:bCs/>
      <w:sz w:val="24"/>
    </w:rPr>
  </w:style>
  <w:style w:type="paragraph" w:styleId="Textkrper2">
    <w:name w:val="Body Text 2"/>
    <w:basedOn w:val="Standard"/>
    <w:semiHidden/>
    <w:rPr>
      <w:rFonts w:ascii="Arial" w:hAnsi="Arial"/>
      <w:sz w:val="22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</w:pBdr>
      <w:tabs>
        <w:tab w:val="left" w:pos="5472"/>
      </w:tabs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rFonts w:ascii="Arial" w:hAnsi="Arial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line="360" w:lineRule="auto"/>
    </w:pPr>
    <w:rPr>
      <w:rFonts w:ascii="Arial" w:hAnsi="Arial"/>
      <w:b/>
      <w:bCs/>
      <w:sz w:val="24"/>
    </w:rPr>
  </w:style>
  <w:style w:type="paragraph" w:styleId="Textkrper2">
    <w:name w:val="Body Text 2"/>
    <w:basedOn w:val="Standard"/>
    <w:semiHidden/>
    <w:rPr>
      <w:rFonts w:ascii="Arial" w:hAnsi="Arial"/>
      <w:sz w:val="22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Kanzlei\Gemeinsame_Vorlagen\Bewilligung\Sonntagsverkauf_Gesu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Sonntagsverkauf_Gesuch</Template>
  <TotalTime>0</TotalTime>
  <Pages>3</Pages>
  <Words>599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Unterhaltungsbewilligung</vt:lpstr>
    </vt:vector>
  </TitlesOfParts>
  <Company>Gemeinde Vilters-Wangs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Unterhaltungsbewilligung</dc:title>
  <dc:subject>Bewilligung</dc:subject>
  <dc:creator>Wolfgang Frei</dc:creator>
  <cp:lastModifiedBy>Wolfgang Frei</cp:lastModifiedBy>
  <cp:revision>1</cp:revision>
  <cp:lastPrinted>2005-07-05T12:18:00Z</cp:lastPrinted>
  <dcterms:created xsi:type="dcterms:W3CDTF">2014-05-22T15:35:00Z</dcterms:created>
  <dcterms:modified xsi:type="dcterms:W3CDTF">2014-05-22T15:36:00Z</dcterms:modified>
</cp:coreProperties>
</file>